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63F4F" w14:textId="77777777" w:rsidR="00F4459E" w:rsidRPr="000E4F7C" w:rsidRDefault="00F4459E" w:rsidP="00F4459E">
      <w:pPr>
        <w:spacing w:after="0"/>
        <w:jc w:val="center"/>
        <w:rPr>
          <w:rFonts w:ascii="Calibri" w:hAnsi="Calibri" w:cs="Calibri"/>
          <w:b/>
          <w:bCs/>
        </w:rPr>
      </w:pPr>
      <w:r w:rsidRPr="000E4F7C">
        <w:rPr>
          <w:rFonts w:ascii="Calibri" w:hAnsi="Calibri" w:cs="Calibri"/>
          <w:b/>
          <w:bCs/>
        </w:rPr>
        <w:t xml:space="preserve">Cleaver Square, Cleaver Street and Bowden Street Residents’ Association </w:t>
      </w:r>
    </w:p>
    <w:p w14:paraId="1767829B" w14:textId="77777777" w:rsidR="00F4459E" w:rsidRPr="000E4F7C" w:rsidRDefault="00F4459E" w:rsidP="00F4459E">
      <w:pPr>
        <w:spacing w:after="0"/>
        <w:jc w:val="center"/>
        <w:rPr>
          <w:rFonts w:ascii="Calibri" w:hAnsi="Calibri" w:cs="Calibri"/>
          <w:b/>
          <w:bCs/>
        </w:rPr>
      </w:pPr>
      <w:r w:rsidRPr="000E4F7C">
        <w:rPr>
          <w:rFonts w:ascii="Calibri" w:hAnsi="Calibri" w:cs="Calibri"/>
          <w:b/>
          <w:bCs/>
        </w:rPr>
        <w:t>and Neighbourhood Watch</w:t>
      </w:r>
    </w:p>
    <w:p w14:paraId="19E0CAF0" w14:textId="008F6C3B" w:rsidR="00F4459E" w:rsidRPr="005C4717" w:rsidRDefault="00F4459E" w:rsidP="00F4459E">
      <w:pPr>
        <w:rPr>
          <w:rFonts w:ascii="Calibri" w:hAnsi="Calibri" w:cs="Calibri"/>
          <w:b/>
          <w:bCs/>
          <w:sz w:val="28"/>
          <w:szCs w:val="28"/>
        </w:rPr>
      </w:pPr>
      <w:r w:rsidRPr="005C4717">
        <w:rPr>
          <w:rFonts w:ascii="Calibri" w:hAnsi="Calibri" w:cs="Calibri"/>
          <w:b/>
          <w:bCs/>
          <w:sz w:val="28"/>
          <w:szCs w:val="28"/>
        </w:rPr>
        <w:t xml:space="preserve">Health and Safety Policy </w:t>
      </w:r>
    </w:p>
    <w:p w14:paraId="18561898" w14:textId="17E7AF09" w:rsidR="00F4459E" w:rsidRPr="000E4F7C" w:rsidRDefault="00F4459E" w:rsidP="00F4459E">
      <w:pPr>
        <w:shd w:val="clear" w:color="auto" w:fill="FFFFFF"/>
        <w:spacing w:after="0" w:line="330" w:lineRule="atLeast"/>
        <w:ind w:right="36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Cleaver Square, Cleaver Street and Bowden Street Residents’ Association and Neighbourhood Watch wishes to ensure that a safe and healthy environment is in place for anyone organising or participating in our activities and events. This includes residents, </w:t>
      </w:r>
      <w:r w:rsidR="0024750F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other </w:t>
      </w: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>volunteers and other members of the public.  Our main activities are as follows:</w:t>
      </w:r>
    </w:p>
    <w:p w14:paraId="4D5B1524" w14:textId="7B69827A" w:rsidR="00F4459E" w:rsidRPr="000E4F7C" w:rsidRDefault="00F4459E" w:rsidP="00F4459E">
      <w:pPr>
        <w:pStyle w:val="ListParagraph"/>
        <w:numPr>
          <w:ilvl w:val="0"/>
          <w:numId w:val="5"/>
        </w:numPr>
        <w:shd w:val="clear" w:color="auto" w:fill="FFFFFF"/>
        <w:spacing w:after="0" w:line="330" w:lineRule="atLeast"/>
        <w:ind w:right="36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>Voluntary clean-up and gardening mornings in our area, where residents bring their own equipment (twice a year)</w:t>
      </w:r>
    </w:p>
    <w:p w14:paraId="4FEF4389" w14:textId="1E8D7A7B" w:rsidR="00F4459E" w:rsidRPr="000E4F7C" w:rsidRDefault="00F4459E" w:rsidP="00F4459E">
      <w:pPr>
        <w:pStyle w:val="ListParagraph"/>
        <w:numPr>
          <w:ilvl w:val="0"/>
          <w:numId w:val="5"/>
        </w:numPr>
        <w:shd w:val="clear" w:color="auto" w:fill="FFFFFF"/>
        <w:spacing w:after="0" w:line="330" w:lineRule="atLeast"/>
        <w:ind w:right="36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>Small social gatherings in the square for residents (twice a year)</w:t>
      </w:r>
      <w:r w:rsidR="00EA3FAB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>, and one AGM</w:t>
      </w:r>
    </w:p>
    <w:p w14:paraId="56974DBE" w14:textId="1FE15201" w:rsidR="00F4459E" w:rsidRPr="000E4F7C" w:rsidRDefault="00F4459E" w:rsidP="00F4459E">
      <w:pPr>
        <w:pStyle w:val="ListParagraph"/>
        <w:numPr>
          <w:ilvl w:val="0"/>
          <w:numId w:val="5"/>
        </w:numPr>
        <w:shd w:val="clear" w:color="auto" w:fill="FFFFFF"/>
        <w:spacing w:after="0" w:line="330" w:lineRule="atLeast"/>
        <w:ind w:right="36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>Table sales/swaps (one table, once or twice a year)</w:t>
      </w:r>
    </w:p>
    <w:p w14:paraId="477A0164" w14:textId="77777777" w:rsidR="00F4459E" w:rsidRPr="000E4F7C" w:rsidRDefault="00F4459E" w:rsidP="00F4459E">
      <w:pPr>
        <w:pStyle w:val="ListParagraph"/>
        <w:numPr>
          <w:ilvl w:val="0"/>
          <w:numId w:val="5"/>
        </w:numPr>
        <w:shd w:val="clear" w:color="auto" w:fill="FFFFFF"/>
        <w:spacing w:after="0" w:line="330" w:lineRule="atLeast"/>
        <w:ind w:right="36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Larger events such as the annual ‘carols in the square’ and one-off street parties (once or twice a year). </w:t>
      </w:r>
    </w:p>
    <w:p w14:paraId="05483822" w14:textId="3BC817EC" w:rsidR="00F4459E" w:rsidRPr="000E4F7C" w:rsidRDefault="0024750F" w:rsidP="003867F7">
      <w:pPr>
        <w:pStyle w:val="ListParagraph"/>
        <w:numPr>
          <w:ilvl w:val="0"/>
          <w:numId w:val="5"/>
        </w:numPr>
        <w:shd w:val="clear" w:color="auto" w:fill="FFFFFF"/>
        <w:spacing w:after="0" w:line="330" w:lineRule="atLeast"/>
        <w:ind w:right="36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>All activities other than committee meetings</w:t>
      </w:r>
      <w:r w:rsidR="00EA3FAB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AGMs</w:t>
      </w: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take place outdoors </w:t>
      </w:r>
    </w:p>
    <w:p w14:paraId="23904C6B" w14:textId="77777777" w:rsidR="00EA3FAB" w:rsidRPr="000E4F7C" w:rsidRDefault="00EA3FAB" w:rsidP="00EA3FAB">
      <w:pPr>
        <w:shd w:val="clear" w:color="auto" w:fill="FFFFFF"/>
        <w:spacing w:after="0" w:line="330" w:lineRule="atLeast"/>
        <w:ind w:right="36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7C2A226" w14:textId="03C1E1AA" w:rsidR="00EA3FAB" w:rsidRPr="000E4F7C" w:rsidRDefault="00EA3FAB" w:rsidP="00EA3FAB">
      <w:pPr>
        <w:shd w:val="clear" w:color="auto" w:fill="FFFFFF"/>
        <w:spacing w:after="0" w:line="330" w:lineRule="atLeast"/>
        <w:ind w:right="36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1. </w:t>
      </w:r>
      <w:r w:rsidR="00F4459E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Responsibility for health and safety lies with the </w:t>
      </w: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association’s </w:t>
      </w:r>
      <w:r w:rsidR="00F4459E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committee, and in the case of larger events with the organising committee (a named volunteer in charge).  </w:t>
      </w:r>
    </w:p>
    <w:p w14:paraId="3BDA9AFD" w14:textId="77777777" w:rsidR="00EA3FAB" w:rsidRPr="000E4F7C" w:rsidRDefault="00EA3FAB" w:rsidP="0024750F">
      <w:pPr>
        <w:shd w:val="clear" w:color="auto" w:fill="FFFFFF"/>
        <w:spacing w:after="0" w:line="330" w:lineRule="atLeast"/>
        <w:ind w:right="36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416E157" w14:textId="3FFAD7CD" w:rsidR="0024750F" w:rsidRPr="000E4F7C" w:rsidRDefault="00EA3FAB" w:rsidP="0024750F">
      <w:pPr>
        <w:shd w:val="clear" w:color="auto" w:fill="FFFFFF"/>
        <w:spacing w:after="0" w:line="330" w:lineRule="atLeast"/>
        <w:ind w:right="360"/>
        <w:textAlignment w:val="baseline"/>
        <w:rPr>
          <w:rFonts w:ascii="Calibri" w:hAnsi="Calibri" w:cs="Calibri"/>
          <w:shd w:val="clear" w:color="auto" w:fill="FFFFFF"/>
        </w:rPr>
      </w:pP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2. </w:t>
      </w:r>
      <w:r w:rsidR="0024750F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>Full ri</w:t>
      </w:r>
      <w:r w:rsidR="00F4459E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>sk assessments are only required for these larger events</w:t>
      </w:r>
      <w:r w:rsidR="0024750F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any specific projects which may carry risks</w:t>
      </w:r>
      <w:r w:rsidR="00F4459E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</w:t>
      </w:r>
      <w:r w:rsidR="0024750F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They will cover all aspects of the event including </w:t>
      </w:r>
      <w:r w:rsidR="0024750F" w:rsidRPr="000E4F7C">
        <w:rPr>
          <w:rFonts w:ascii="Calibri" w:hAnsi="Calibri" w:cs="Calibri"/>
          <w:shd w:val="clear" w:color="auto" w:fill="FFFFFF"/>
        </w:rPr>
        <w:t xml:space="preserve">equipment, venue, volunteers, and attendees. </w:t>
      </w:r>
      <w:r w:rsidR="0024750F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>All volunteers will be made aware of the precautions they need to take as noted on the risk assessment.</w:t>
      </w:r>
    </w:p>
    <w:p w14:paraId="52625D2C" w14:textId="77777777" w:rsidR="0024750F" w:rsidRPr="000E4F7C" w:rsidRDefault="0024750F" w:rsidP="0024750F">
      <w:pPr>
        <w:shd w:val="clear" w:color="auto" w:fill="FFFFFF"/>
        <w:spacing w:after="0" w:line="330" w:lineRule="atLeast"/>
        <w:ind w:right="36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58FDC4F" w14:textId="3F5BE20D" w:rsidR="0024750F" w:rsidRPr="000E4F7C" w:rsidRDefault="00EA3FAB" w:rsidP="0024750F">
      <w:pPr>
        <w:shd w:val="clear" w:color="auto" w:fill="FFFFFF"/>
        <w:spacing w:after="0" w:line="330" w:lineRule="atLeast"/>
        <w:ind w:right="36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3. </w:t>
      </w:r>
      <w:r w:rsidR="00F4459E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>Appropriate precautions will be taken to minimise hazards at all events and activities</w:t>
      </w:r>
      <w:r w:rsidR="0024750F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including where appropriate the provision of a trained first aider. </w:t>
      </w:r>
    </w:p>
    <w:p w14:paraId="4C780970" w14:textId="77777777" w:rsidR="0024750F" w:rsidRPr="000E4F7C" w:rsidRDefault="0024750F" w:rsidP="0024750F">
      <w:pPr>
        <w:shd w:val="clear" w:color="auto" w:fill="FFFFFF"/>
        <w:spacing w:after="0" w:line="330" w:lineRule="atLeast"/>
        <w:ind w:right="360"/>
        <w:textAlignment w:val="baseline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5A63C3B" w14:textId="62E79E17" w:rsidR="00F4459E" w:rsidRPr="000E4F7C" w:rsidRDefault="00EA3FAB" w:rsidP="0024750F">
      <w:pPr>
        <w:shd w:val="clear" w:color="auto" w:fill="FFFFFF"/>
        <w:spacing w:after="0" w:line="330" w:lineRule="atLeast"/>
        <w:ind w:right="360"/>
        <w:textAlignment w:val="baseline"/>
        <w:rPr>
          <w:rFonts w:ascii="Calibri" w:hAnsi="Calibri" w:cs="Calibri"/>
        </w:rPr>
      </w:pP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4. </w:t>
      </w:r>
      <w:r w:rsidR="0024750F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>The association holds Public Liability Insurance (£10,000,000) through the Home Office’s Neighbourhood Watch scheme</w:t>
      </w: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for all its activities other than one-off projects for which additional cover will be sought if necessary</w:t>
      </w:r>
      <w:r w:rsidR="0024750F"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</w:t>
      </w:r>
      <w:r w:rsidRPr="000E4F7C">
        <w:rPr>
          <w:rFonts w:ascii="Calibri" w:eastAsia="Times New Roman" w:hAnsi="Calibri" w:cs="Calibri"/>
          <w:kern w:val="0"/>
          <w:lang w:eastAsia="en-GB"/>
          <w14:ligatures w14:val="none"/>
        </w:rPr>
        <w:t>https://www.ourwatch.org.uk/PLI</w:t>
      </w:r>
    </w:p>
    <w:p w14:paraId="7174CA78" w14:textId="77777777" w:rsidR="00F4459E" w:rsidRPr="000E4F7C" w:rsidRDefault="00F4459E">
      <w:pPr>
        <w:rPr>
          <w:rFonts w:ascii="Calibri" w:hAnsi="Calibri" w:cs="Calibri"/>
        </w:rPr>
      </w:pPr>
    </w:p>
    <w:p w14:paraId="6062BDAE" w14:textId="7897146A" w:rsidR="00F4459E" w:rsidRPr="000E4F7C" w:rsidRDefault="00F4459E" w:rsidP="00F4459E">
      <w:pPr>
        <w:rPr>
          <w:rFonts w:ascii="Calibri" w:hAnsi="Calibri" w:cs="Calibri"/>
          <w:i/>
          <w:iCs/>
        </w:rPr>
      </w:pPr>
      <w:r w:rsidRPr="000E4F7C">
        <w:rPr>
          <w:rFonts w:ascii="Calibri" w:hAnsi="Calibri" w:cs="Calibri"/>
          <w:i/>
          <w:iCs/>
        </w:rPr>
        <w:t xml:space="preserve">This policy was adopted by unanimous agreement of the committee of the Cleaver Square, Cleaver Street and Bowden Street Residents’ Association and Neighbourhood Watch on </w:t>
      </w:r>
      <w:r w:rsidR="002D4CD5" w:rsidRPr="000E4F7C">
        <w:rPr>
          <w:rFonts w:ascii="Calibri" w:hAnsi="Calibri" w:cs="Calibri"/>
          <w:i/>
          <w:iCs/>
        </w:rPr>
        <w:t>3</w:t>
      </w:r>
      <w:r w:rsidRPr="000E4F7C">
        <w:rPr>
          <w:rFonts w:ascii="Calibri" w:hAnsi="Calibri" w:cs="Calibri"/>
          <w:i/>
          <w:iCs/>
        </w:rPr>
        <w:t xml:space="preserve"> July 2024 (with endorsement at the association’s AGM in November 2024 to follow</w:t>
      </w:r>
      <w:proofErr w:type="gramStart"/>
      <w:r w:rsidRPr="000E4F7C">
        <w:rPr>
          <w:rFonts w:ascii="Calibri" w:hAnsi="Calibri" w:cs="Calibri"/>
          <w:i/>
          <w:iCs/>
        </w:rPr>
        <w:t>), and</w:t>
      </w:r>
      <w:proofErr w:type="gramEnd"/>
      <w:r w:rsidRPr="000E4F7C">
        <w:rPr>
          <w:rFonts w:ascii="Calibri" w:hAnsi="Calibri" w:cs="Calibri"/>
          <w:i/>
          <w:iCs/>
        </w:rPr>
        <w:t xml:space="preserve"> will be reviewed at least every 3 years. </w:t>
      </w:r>
    </w:p>
    <w:p w14:paraId="4713A389" w14:textId="49FCB61B" w:rsidR="00F4459E" w:rsidRPr="000E4F7C" w:rsidRDefault="00F4459E" w:rsidP="00F4459E">
      <w:pPr>
        <w:rPr>
          <w:rFonts w:ascii="Lucida Calligraphy" w:hAnsi="Lucida Calligraphy" w:cs="Calibri"/>
          <w:i/>
          <w:iCs/>
        </w:rPr>
      </w:pPr>
      <w:r w:rsidRPr="000E4F7C">
        <w:rPr>
          <w:rFonts w:ascii="Calibri" w:hAnsi="Calibri" w:cs="Calibri"/>
          <w:i/>
          <w:iCs/>
        </w:rPr>
        <w:t xml:space="preserve">Signed: </w:t>
      </w:r>
      <w:r w:rsidR="00CE19BF" w:rsidRPr="000E4F7C">
        <w:rPr>
          <w:rFonts w:ascii="Lucida Calligraphy" w:hAnsi="Lucida Calligraphy" w:cs="Calibri"/>
          <w:i/>
          <w:iCs/>
        </w:rPr>
        <w:t>Penny Ritchie Calder</w:t>
      </w:r>
    </w:p>
    <w:p w14:paraId="5775AB1D" w14:textId="77777777" w:rsidR="00F4459E" w:rsidRPr="000E4F7C" w:rsidRDefault="00F4459E" w:rsidP="00F4459E">
      <w:pPr>
        <w:rPr>
          <w:rFonts w:ascii="Calibri" w:hAnsi="Calibri" w:cs="Calibri"/>
          <w:i/>
          <w:iCs/>
        </w:rPr>
      </w:pPr>
      <w:r w:rsidRPr="000E4F7C">
        <w:rPr>
          <w:rFonts w:ascii="Calibri" w:hAnsi="Calibri" w:cs="Calibri"/>
          <w:i/>
          <w:iCs/>
        </w:rPr>
        <w:t>Chair, Cleaver Square, Cleaver Street and Bowden Street Residents’ Association and Neighbourhood Watch</w:t>
      </w:r>
    </w:p>
    <w:p w14:paraId="0FEB2AA9" w14:textId="352F96B3" w:rsidR="00F4459E" w:rsidRPr="000E4F7C" w:rsidRDefault="00F4459E">
      <w:pPr>
        <w:rPr>
          <w:rFonts w:ascii="Calibri" w:hAnsi="Calibri" w:cs="Calibri"/>
        </w:rPr>
      </w:pPr>
      <w:r w:rsidRPr="000E4F7C">
        <w:rPr>
          <w:rFonts w:ascii="Calibri" w:hAnsi="Calibri" w:cs="Calibri"/>
          <w:i/>
          <w:iCs/>
        </w:rPr>
        <w:t xml:space="preserve">Date: </w:t>
      </w:r>
      <w:r w:rsidR="00CE19BF" w:rsidRPr="000E4F7C">
        <w:rPr>
          <w:rFonts w:ascii="Calibri" w:hAnsi="Calibri" w:cs="Calibri"/>
          <w:i/>
          <w:iCs/>
        </w:rPr>
        <w:t>3 July 2024</w:t>
      </w:r>
    </w:p>
    <w:sectPr w:rsidR="00F4459E" w:rsidRPr="000E4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52D78"/>
    <w:multiLevelType w:val="multilevel"/>
    <w:tmpl w:val="2BA4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E4387"/>
    <w:multiLevelType w:val="hybridMultilevel"/>
    <w:tmpl w:val="B2A02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62AA9"/>
    <w:multiLevelType w:val="multilevel"/>
    <w:tmpl w:val="8E20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F0325"/>
    <w:multiLevelType w:val="hybridMultilevel"/>
    <w:tmpl w:val="9F32C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82872"/>
    <w:multiLevelType w:val="multilevel"/>
    <w:tmpl w:val="D518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B7B74"/>
    <w:multiLevelType w:val="hybridMultilevel"/>
    <w:tmpl w:val="BFFA5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35254">
    <w:abstractNumId w:val="4"/>
  </w:num>
  <w:num w:numId="2" w16cid:durableId="746657691">
    <w:abstractNumId w:val="0"/>
  </w:num>
  <w:num w:numId="3" w16cid:durableId="551817503">
    <w:abstractNumId w:val="2"/>
  </w:num>
  <w:num w:numId="4" w16cid:durableId="1590500468">
    <w:abstractNumId w:val="1"/>
  </w:num>
  <w:num w:numId="5" w16cid:durableId="1804232537">
    <w:abstractNumId w:val="5"/>
  </w:num>
  <w:num w:numId="6" w16cid:durableId="1217861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9E"/>
    <w:rsid w:val="000E4F7C"/>
    <w:rsid w:val="0024750F"/>
    <w:rsid w:val="002D4CD5"/>
    <w:rsid w:val="003121BB"/>
    <w:rsid w:val="00471719"/>
    <w:rsid w:val="005C4717"/>
    <w:rsid w:val="006E4515"/>
    <w:rsid w:val="00CE19BF"/>
    <w:rsid w:val="00EA3FAB"/>
    <w:rsid w:val="00F4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1824"/>
  <w15:chartTrackingRefBased/>
  <w15:docId w15:val="{F7CB5DF1-73FF-432A-9D6C-FE78B465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Calder</dc:creator>
  <cp:keywords/>
  <dc:description/>
  <cp:lastModifiedBy>Penny Calder</cp:lastModifiedBy>
  <cp:revision>6</cp:revision>
  <cp:lastPrinted>2024-07-04T08:49:00Z</cp:lastPrinted>
  <dcterms:created xsi:type="dcterms:W3CDTF">2024-06-27T11:28:00Z</dcterms:created>
  <dcterms:modified xsi:type="dcterms:W3CDTF">2024-07-04T08:58:00Z</dcterms:modified>
</cp:coreProperties>
</file>